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січня 2017 року</w:t>
        <w:tab/>
        <w:tab/>
        <w:tab/>
        <w:tab/>
        <w:t xml:space="preserve">№ 15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Плану основних</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заходів цивільного захисту</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на 2017 рік</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розпорядження голови Львівської обласної державної адміністрації від 29 грудня 2016 року № 1094/0/5-16 «Про затвердження Плану основних заходів цивільного захисту Львівської області на 2017 рік», з метою забезпечення захисту населення і територій від надзвичайних ситуацій та організації виконання заходів цивільного захисту району у 2017 році: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1.1.План основних заходів цивільного захисту Пустомитівського району на 2017 рік (надалі – План заходів), що додається;</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1.2.Організаційно-методичні вказівки щодо навчання населення Пустомитівського району захисту і діям у надзвичайних ситуаціях на </w:t>
        <w:br w:type="textWrapping"/>
        <w:t xml:space="preserve">2017 навчальний рік, що додаються.</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2.Пустомитівському РВ ГУ ДСНС України у Львівській області (А.Гарін), міському, селищному, сільським головам, підприємствам, установам та організаціям, незалежно від форм власності і підпорядкування, службам цивільного захисту району: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2.1.Розробити до 20.01.2017 на основі Плану заходів галузеві та місцеві плани основних заходів цивільного захисту на 2017 рік (надалі – галузевий та місцевий план заходів) відповідно до своїх повноважень;</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2.2.Забезпечити надання сектору цивільного захисту районної державної адміністрації пропозицій до проекту Плану основних заходів цивільного захисту Пустомитівського району на 2017 рік – до 01.12.2017;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1"/>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80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7" w:type="default"/>
          <w:footerReference r:id="rId8" w:type="default"/>
          <w:pgSz w:h="11906" w:w="16838" w:orient="landscape"/>
          <w:pgMar w:bottom="776" w:top="1701" w:left="1134" w:right="1134"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ЗАТВЕРДЖЕНО</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січня 2017  року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15</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Організаційно-методичні вказівки</w:t>
      </w: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 населення Пустомитівського району</w:t>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дій у надзвичайних ситуаціях на 2017 рік</w:t>
      </w: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Керівникам місцевих органів виконавчої влади та органів місцевого самоврядування (надалі – місцевий орган виконавчої влади), підприємств, установ та організацій тощо (надалі - суб’єкт господарювання), незалежно від форм власності та підпорядкування, на виконання вимог нормативно-правових актів держави у сфері цивільного захисту з підготовки населення, органів управління та сил цивільного захисту до дій у надзвичайних ситуаціях:</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Навчання населення діям у надзвичайних ситуаціях здійснювати відповідно до Порядку здійснення навчання населення діям у надзвичайних ситуаціях, затвердженого постановою Кабінету Міністрів України від 26.06.2013 № 444 (надалі - Порядок навчання), та Організаційно-методичних вказівок з підготовки працюючого населення до дій у надзвичайних ситуаціях, затверджених 19.09.2013 Головою Державної служби України з надзвичайних ситуацій (надалі – ДСНС України):</w:t>
      </w:r>
    </w:p>
    <w:bookmarkStart w:colFirst="0" w:colLast="0" w:name="gjdgxs" w:id="0"/>
    <w:bookmarkEnd w:id="0"/>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місцем роботи - працюючого населення;</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місцем навчання - дітей дошкільного віку та учнів;</w:t>
      </w:r>
    </w:p>
    <w:bookmarkStart w:colFirst="0" w:colLast="0" w:name="30j0zll" w:id="1"/>
    <w:bookmarkEnd w:id="1"/>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місцем проживання - непрацюючого населення.</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Навчання населення діям у надзвичайних ситуаціях організувати та здійснювати у формі:</w:t>
      </w:r>
    </w:p>
    <w:bookmarkStart w:colFirst="0" w:colLast="0" w:name="1fob9te" w:id="2"/>
    <w:bookmarkEnd w:id="2"/>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безпосередньо на підприємствах, установах та організаціях;</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за межами підприємств, установ та організацій керівного складу і фахівців з питань цивільного захисту та пожежної безпеки (Навчально-методичному центрі цивільного захисту та безпеки життєдіяльності Львівської області, Інституті державного управління у сфері цивільного захисту</w:t>
      </w:r>
      <w:bookmarkStart w:colFirst="0" w:colLast="0" w:name="3znysh7" w:id="3"/>
      <w:bookmarkEnd w:id="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практичної підготовки під час проведення спеціальних об’єктових навчань і тренувань з питань цивільного захисту;</w:t>
      </w:r>
    </w:p>
    <w:bookmarkStart w:colFirst="0" w:colLast="0" w:name="2et92p0" w:id="4"/>
    <w:bookmarkEnd w:id="4"/>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під час здобуття відповідного освітнього рівня у навчальних закладах системи освіти;</w:t>
      </w:r>
    </w:p>
    <w:bookmarkStart w:colFirst="0" w:colLast="0" w:name="tyjcwt" w:id="5"/>
    <w:bookmarkEnd w:id="5"/>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самостійного вивчення інформації про дії в умовах надзвичайних ситуацій (в консультаційних пунктах).</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Навчання працюючого населення.</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Навчання працівників безпосередньо на підприємствах, в установах, організаціях здійснювати шляхом курсового та індивідуального навчання за програмами підготовки працівників.</w:t>
      </w:r>
    </w:p>
    <w:bookmarkStart w:colFirst="0" w:colLast="0" w:name="3dy6vkm" w:id="6"/>
    <w:bookmarkEnd w:id="6"/>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 Загальної підготовки працівників підприємств, установ та організацій згідно з додатком 1.</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 Спеціальної підготовки працівників, що входять до складу спеціалізованих служб і формувань цивільного захисту.</w:t>
      </w:r>
    </w:p>
    <w:bookmarkStart w:colFirst="0" w:colLast="0" w:name="1t3h5sf" w:id="7"/>
    <w:bookmarkEnd w:id="7"/>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3.1.3. Додаткової підготовки з техногенної безпеки працівників об’єктів підвищеної небезпеки.</w:t>
      </w:r>
    </w:p>
    <w:bookmarkStart w:colFirst="0" w:colLast="0" w:name="4d34og8" w:id="8"/>
    <w:bookmarkEnd w:id="8"/>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3.1.4. Пожежно-технічного мінімуму для працівників, зайнятих на роботах з підвищеною пожежною небезпекою.</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 Прискореної підготовки працівників до дій в особливий період (при переведенні до функціонування в особливий період).</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3.1.6. Під час проведення спеціальних об’єктових навчань і тренувань з питань цивільного захисту.</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Навчальні групи працівників з курсового навчання утворити у складі формувань цивільного захисту, з індивідуального навчання - по структурних підрозділах підприємств, установ та організацій.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Керівників навчальних груп призначити наказом керівника підприємства і забезпечити проходження ними спеціальної підготовки у Навчально-методичному центрі цивільного захисту та безпеки життєдіяльності Львівської області (надалі - НМЦ).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проведення занять з надання домедичної допомоги залучити медичних працівників підприємств, установ та організацій.</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При прийомі на роботу нових працівників організувати проведення інструктажів з питань цивільного захисту, пожежної безпеки та дій у надзвичайних ситуаціях з використанням діючих на підприємстві, в установі та організації програм підготовки, правил, інструкцій, планів реагування на надзвичайні ситуації, інших нормативно-правових актів з питань цивільного захисту, техногенної та пожежної безпеки.</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Програми</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проведення вступного, первинного, повторного, позапланового та цільового інструктажів затвердити керівником підприємства, установи та організації після узгодження їх змісту з Пустомитівським РВ Головного управління ДСНС України у Львівській області (надалі – РВ ГУ ДСНС України у Львівській області).</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прийомі на роботу працівників робітничих спеціальностей, зайнятих на роботах з підвищеною пожежною небезпекою, здійснювати попереднє навчання за програмою пожежно-технічного мінімуму.</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подальшому перевірку знань таких працівників проводити щорічно комісією з перевірки знань з питань пожежної безпеки підприємства, установи та організації. Перелік питань для перевірки знань з пожежної безпеки та склад комісії затвердити відповідними наказами керівника підприємства, установи, організації та забезпечити проходження членами комісії навчання та перевірку знань з питань пожежної безпеки у НМЦ.</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Підвищення рівня знань та отримання практичних навичок щодо дій у надзвичайних ситуаціях здійснювати на практичних заняттях у ході проведення спеціальних об’єктових навчань і тренувань з питань цивільного захисту з періодичністю, встановленою Порядком підготовки до дій за призначенням органів управління та сил цивільного захисту, затвердженим постановою Кабінету Міністрів України від 26.06.2013 № 443, та відповідно до Порядку організації та проведення спеціальних об’єктових навчань і тренувань з питань цивільного захисту, затвердженого наказом Міністерства внутрішніх справ України від 11.09.2014 № 934, зареєстрованим в Міністерстві юстиції України 03.10.2014 за № 1200/25977.</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Спеціальні об’єктові тренування з питань цивільного захисту з формуваннями цивільного захисту (спеціальні тренування) проводити щороку тривалістю від 4 до 8 годин на підприємствах, в установах та організаціях, які у встановленому порядку створили формування цивільного захисту.</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Спеціальні об’єктові тренування з питань цивільного захисту у перший рік трирічного періоду об’єктової підготовки проводити як роздільні, за планами та під керівництвом керівників формувань цивільного захисту.</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другий рік для відпрацювання взаємодії та досягнення злагодженості дій з ліквідації наслідків надзвичайної ситуації проводити спільні тренування під керівництвом особи, яка у разі виникнення надзвичайної ситуації виконує на підприємстві, в установі та організації функції керівника робіт з ліквідації наслідків надзвичайної ситуації.</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третій рік спеціальні об’єктові тренування з питань цивільного захисту планувати та проводити відповідно до задуму та строків проведення на підприємствах, в установах та організаціях спеціального об’єктового навчання.</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Тренування на випадок пожежі проводити двічі на рік на всіх підприємствах,  в установах та організаціях із залученням всього працюючого персоналу.</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Тренування з евакуації людей проводити двічі на рік у навчальних закладах,    лікувальних установах із стаціонаром, будинках для людей похилого віку та інвалідів, санаторіях і закладах відпочинку, культурно-просвітніх та видовищних закладах, критих спортивних будівлях і спорудах, готелях, торгових підприємствах (два поверхи й більше) та інших, аналогічних за призначенням об'єктах, з масовим перебуванням людей.</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Спеціальні об'єктові навчання з питань цивільного захисту проводити на завершальному етапі трирічного циклу об’єктової підготовки працівників, метою яких є визначення готовності підприємства, установи та організації до дій за планом реагування на надзвичайні ситуації та в умовах особливого періоду.</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підприємствах, в установах та організаціях з чисельністю працюючих 50 осіб і менше, а також у навчальних закладах, незалежно від чисельності працюючих, замість спеціального об’єктового навчання щорічно проводити тривалістю до 8 годин тренування персоналу підприємств, установ та організацій щодо дій у надзвичайних ситуаціях (об’єктове тренування).</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Об’єктове тренування з учасниками навчально-виховного процесу щодо надзвичайних ситуацій та дій при виникненні пожеж у дошкільних, загальноосвітніх та професійно-технічних навчальних закладах проводити як “Тиждень безпеки дитини” та “День цивільного захисту”.</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підприємствах, в організаціях, установах, що мають хоча б один об’єкт підвищеної небезпеки, щорічно проводити тренування усього персоналу з імовірних аварійних ситуацій, що передбачені планами локалізації і ліквідації аварій (протиаварійні тренування). Протягом кожного року (у тому числі і року проведення спеціального об’єктового навчання) з працівниками таких суб’єктів господарювання у порядку та з періодичністю, передбаченими планом локалізації і ліквідації наслідків аварій, додатково проводити навчальні тривоги.</w:t>
      </w:r>
    </w:p>
    <w:bookmarkStart w:colFirst="0" w:colLast="0" w:name="2s8eyo1" w:id="9"/>
    <w:bookmarkEnd w:id="9"/>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Графіки проведення спеціальних об’єктових навчань і тренувань щороку затверджувати керівником підприємства, установи, організації та погоджувати з місцевими органами виконавчої влади та РВ ГУ ДСНС України у Львівській області .</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Підготовку осіб керівного складу та фахівців здійснювати згідно з Переліком категорій осіб керівного складу та фахівців, діяльність яких пов’язана з організацією і здійсненням заходів з питань цивільного захисту, затвердженим постановою Кабінету Міністрів України від 23.10.2013 № 819, та відповідно до вимог Положення про організацію навчального процесу з функціонального навчання, затвердженого наказом Міністерства внутрішніх справ України від 21.10.2014 № 1112, зареєстрованим в Міністерстві юстиції України 05.11.2014 за № 1398/26175, в НМЦ, а також в Інституті державного управління у сфері цивільного захисту.</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 На підприємствах, установах і організаціях:</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3.6.1. Забезпечити ведення документації з питань організації навчання працюючого населення (переліки навчальних груп, осіб керівного складу і фахівців, які підлягають у поточному році навчанню у сфері цивільного захисту, та посадових осіб, які проходять навчання та перевірку знань з питань пожежної безпеки, робочі навчальні плани і програми, розклади занять, графіки консультацій, журнали навчання, плани підготовки і проведення спеціальних об’єктових навчань і тренувань тощо).</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3.6.2. Обладнати в кожному окремо розташованому структурному підрозділі підприємства, установи та організації інформаційно-довідковий куточок з питань цивільного захисту та здійснити його наповнення навчальними посібниками і натурними зразками, передбаченими загальною програмою підготовки працівників до дій у надзвичайних ситуаціях.</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Інформація та повідомлення на стендах, схемах інформаційно-довідкового куточку повинні відповідати наявним можливостям і ресурсам підприємства, установи, організації з протидії небезпечним факторам, що передбачені об’єктовим планом реагування на надзвичайні ситуації, а її зміст узгоджений з РВ ГУ ДСНС України у Львівській області, та, у разі потреби, з відповідним місцевим органом виконавчої влади.</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освіти райдержадміністрації:</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Навчально-виховну роботу з дітьми дошкільного віку проводити згідно з вимогами базового компонента дошкільної освіти і спрямовувати на формування достатнього та необхідного рівня знань і умінь дитини для безпечного перебування в навколишньому середовищі, елементарних норм поведінки у надзвичайних ситуаціях і запобігання пожежам від дитячих пустощів з вогнем.</w:t>
      </w:r>
    </w:p>
    <w:bookmarkStart w:colFirst="0" w:colLast="0" w:name="17dp8vu" w:id="10"/>
    <w:bookmarkEnd w:id="10"/>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удосконалення навчання дітей основам безпечної життєдіяльності провести у дошкільних навчальних і навчально-виховних закладах зустрічі з працівниками системи цивільного захисту, конкурси, батьківські збори, вікторини тощо.</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поліпшення якості організаційної, практичної і навчально-виховної роботи з дітьми з питань особистої безпеки, захисту життя та норм поведінки у надзвичайних ситуаціях у дошкільних закладах провести у травні “Тиждень безпеки дитини” в рамках “Тижня знань з основ безпеки життєдіяльності населення”. </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встановлення єдиної методики проведення “Тижня безпеки дитини” та обміну досвідом між керівним складом цивільного захисту системи освіти, у лютому-березні для керівників дошкільних навчальних і навчально-виховних закладів провести показові заходи з проведення “Тижня безпеки дитини”.</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Підготовку учнів загальноосвітніх навчальних закладів до дій у надзвичайних ситуаціях, що передбачає здобуття знань і вмінь з питань особистої безпеки в умовах загрози та виникнення надзвичайної ситуації, користування засобами захисту від її наслідків, вивчення правил пожежної безпеки та основ цивільного захисту, здійснювати в рамках вивчення предметів “Основи здоров’я” та “Захист Вітчизни” (розділ “Цивільний захист”</w:t>
      </w:r>
      <w:bookmarkStart w:colFirst="0" w:colLast="0" w:name="3rdcrjn" w:id="11"/>
      <w:bookmarkEnd w:id="11"/>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Закріплення теоретичного матеріалу завершити практичним проведенням у квітні “Дня цивільного захисту” в рамках “Тижня знань з основ безпеки життєдіяльності населення”. З метою встановлення єдиної методики проведення “Дня цивільного захисту” та обміну досвідом між керівним складом цивільного захисту системи освіти, для керівників навчальних закладів провести показові “Дні цивільного захисту”.</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 початком канікул ввести в практику проведення тематичних занять на теми: “Безпека на воді (льоду)”, “Вивчення правил дорожнього руху”, “Безпечне поводження з вогнем”, “Рекомендації по захисту від актів терору”</w:t>
      </w:r>
      <w:bookmarkStart w:colFirst="0" w:colLast="0" w:name="26in1rg" w:id="12"/>
      <w:bookmarkEnd w:id="12"/>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З метою координації науково-методичної діяльності, узагальнення та поширення ефективних форм і методів організації навчально-виховного процесу з питань безпеки життєдіяльності та цивільного захисту забезпечити роботу методичних об’єднань з дисциплін “Основи здоров’я”, “Основи безпеки життєдіяльності” та “Захист Вітчизни” (розділ “Цивільний захист”</w:t>
      </w:r>
      <w:bookmarkStart w:colFirst="0" w:colLast="0" w:name="lnxbz9" w:id="13"/>
      <w:bookmarkEnd w:id="1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визначити:</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4.3.1. Територіальні базові (опорні) загальноосвітні та дошкільні навчальні заклади.</w:t>
      </w:r>
    </w:p>
    <w:bookmarkStart w:colFirst="0" w:colLast="0" w:name="35nkun2" w:id="14"/>
    <w:bookmarkEnd w:id="14"/>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При проведенні конференцій, семінарів і нарад, засідань методичних об’єднань і відкритих уроків з основ здоров’я, безпеки життєдіяльності та цивільного захисту, до підготовки та проведення цих заходів залучати педагогічних працівників НМЦ.</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Позашкільну освітню роботу з питань формування культури безпеки життєдіяльності серед дітей та молоді, формування здорового способу життя, оволодіння ними навичками самозахисту та рятування проводити у позашкільних навчальних закладах, а також шляхом організації шкільних, районних змагань та участі у всеукраїнських змаганнях з безпеки життєдіяльності за програмою “Школа безпеки”</w:t>
      </w:r>
      <w:bookmarkStart w:colFirst="0" w:colLast="0" w:name="1ksv4uv" w:id="15"/>
      <w:bookmarkEnd w:id="1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у рамках Всеукраїнського фестивалю дружин юних пожежних.</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Навчання непрацюючого населення діям у надзвичайних ситуаціях здійснювати шляхом проведення інформаційно-просвітницької роботи за місцем проживання у мережі консультаційних пунктів з питань цивільного захисту при житлово-експлуатаційних організаціях та органах місцевого самоврядування, а також шляхом видання і розповсюдження посібників, пам'яток, буклетів, інших друкованих навчально-інформаційних матеріалів.</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Керівникам галузевих структурних підрозділів райдержадміністрації:</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 Своїми наказами визначити порядок підготовки керівного складу i працівників підпорядкованих органів управління, підприємств, установ та організацій з питань цивільного захисту.</w:t>
      </w:r>
    </w:p>
    <w:bookmarkStart w:colFirst="0" w:colLast="0" w:name="44sinio" w:id="16"/>
    <w:bookmarkEnd w:id="16"/>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 Забезпечити обов'язкове проходження навчання в НМЦ (Інституті державного управління у сфері цивільного захисту), в навчальних групах органів управління, підприємств, установ та організацій усіх категорій керівників, посадових осіб і фахівців, діяльність яких пов’язана з організацією і здійсненням заходів з питань цивільного захисту.</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 Продовжити роботу щодо утворення у штатних розписах органів управління, на підприємствах, в установах та організаціях, незалежно від форм власності, підрозділів (штатних посад) з питань цивільного захисту, або призначення посадових осіб з питань цивільного захисту та обов’язкового їх навчання в НМЦ (Інституті державного управління у сфері цивільного захисту).</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Органам виконавчої влади відповідно до своїх повноважень:</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 Забезпечити виконання Плану комплектування Навчально-методичного центру цивільного захисту та безпеки життєдіяльності Львівської області слухачами на 2017 рік.</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 Організувати проходження навчання з питань цивільного захисту, техногенної та пожежної безпеки посадових осіб місцевих органів виконавчої влади, підприємств, установ, організацій, що належать до їх сфери управління.</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 Забезпечити контроль за ходом і якістю підготовки формувань цивільного захисту та їх готовності до дій за призначенням.</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7.4. Розробити і затвердити План-графік </w:t>
      </w:r>
      <w:hyperlink r:id="rId9">
        <w:r w:rsidDel="00000000" w:rsidR="00000000" w:rsidRPr="00000000">
          <w:rPr>
            <w:rFonts w:ascii="Times New Roman" w:cs="Times New Roman" w:eastAsia="Times New Roman" w:hAnsi="Times New Roman"/>
            <w:b w:val="0"/>
            <w:i w:val="0"/>
            <w:smallCaps w:val="0"/>
            <w:strike w:val="0"/>
            <w:color w:val="000080"/>
            <w:sz w:val="20"/>
            <w:szCs w:val="20"/>
            <w:u w:val="single"/>
            <w:shd w:fill="auto" w:val="clear"/>
            <w:vertAlign w:val="baseline"/>
            <w:rtl w:val="0"/>
          </w:rPr>
          <w:t xml:space="preserve">проведення спеціальних об’єктових навчань і тренувань на підприємствах, в установах та організаціях, які здійснюють свою діяльність на підпорядкованій адміністративній території</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7.5. Розробити і затвердити План з підтримання та подальшого вдосконалення навчально-матеріальної бази, придбання та оновлення навчальної літератури та навчальних посібників (відео, аудіо, друкованих) за тематикою цивільного захисту.</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 Забезпечити функціонування та подальше удосконалення існуючої мережі консультаційних пунктів при житлово-експлуатаційних організаціях та органах місцевого самоврядування.</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Спланувати та у вересні – жовтні 2017 року провести огляд-конкурс на кращу навчально-матеріальну базу цивільного захисту та кращий консультаційний пункт з питань цивільного захисту при житлово-експлуатаційних організаціях</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1906" w:w="16838" w:orient="landscape"/>
          <w:pgMar w:bottom="776" w:top="1701" w:left="1134" w:right="1134"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 ____”  __________ 2017  року </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______</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7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 Л А Н </w:t>
      </w: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основних заходів цивільного захисту Пустомитівського району на 2017 рік</w:t>
      </w: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103.0" w:type="dxa"/>
        <w:jc w:val="left"/>
        <w:tblInd w:w="28.0" w:type="pct"/>
        <w:tblLayout w:type="fixed"/>
        <w:tblLook w:val="0000"/>
      </w:tblPr>
      <w:tblGrid>
        <w:gridCol w:w="525"/>
        <w:gridCol w:w="7173"/>
        <w:gridCol w:w="3714"/>
        <w:gridCol w:w="2627"/>
        <w:gridCol w:w="1064"/>
        <w:tblGridChange w:id="0">
          <w:tblGrid>
            <w:gridCol w:w="525"/>
            <w:gridCol w:w="7173"/>
            <w:gridCol w:w="3714"/>
            <w:gridCol w:w="2627"/>
            <w:gridCol w:w="1064"/>
          </w:tblGrid>
        </w:tblGridChange>
      </w:tblGrid>
      <w:tr>
        <w:trPr>
          <w:trHeight w:val="14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w:t>
            </w: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w:t>
            </w: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 виконання</w:t>
            </w: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 межах повноважень)</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Залучаються</w:t>
            </w: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w:t>
            </w: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виконання</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D">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  щодо удосконалення територіальної підсистеми єдиної системи цивільного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Залучення до оповіщення населення  місцевого радіомовлення, шляхом закладення друкованих текстів та фонограм звернень щодо найбільш вірогідних надзвичайних ситуацій, розроблення та затвердження спільних інструкцій черговому персоналу щодо дій у разі здійснення оповіщення населення, а також перезапис фонограм звернень щодо найбільш вірогідних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Станційно-лінійна дільниця № 4 (м.Пустомити) РЦТ № 133 (м.Яворів) ЛД ПАТ «Укртелеком»;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придбання засобів радіаційного та хімічного захисту для: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персоналу хімічно-небезпечних об’єктів в повному обсязі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хімічно небезпечних об’єктів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працівників установ, підприємств та організацій, розташованих у зоні можливого радіаційного і хімічного забруднення, не менш як 70 відсотків від потреби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установ, підприємств та організацій, розташованих</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зоні можливого радіаційного</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хімічного забруднення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підрозділи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3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непрацюючого населення, яке проживає у прогнозованих зонах хімічного забруднення, не менш як 15 відсотків від потреби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керівники радіаційно та хімічно небезпечних об’єктів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Продовження проведення технічної інвентаризації захисних споруд цивільного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Державної служби України з надзвичайних ситуацій</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районний відділ  Головного управління Державної служби України з надзвичайних ситуацій</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регіональне відділення Фонду держмайна України,</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керівники суб'єктів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 утримувачі захисних споруд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 грудня</w:t>
            </w:r>
          </w:p>
        </w:tc>
      </w:tr>
      <w:tr>
        <w:trPr>
          <w:trHeight w:val="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закладів охорони здоров’я відповідного профілю функціонування, </w:t>
              <w:br w:type="textWrapping"/>
              <w:t xml:space="preserve">у структурі яких є реанімаційні та хірургічні блоки, пологові відділення, палати інтенсивної терапії тощо, автономними джерелами електропостачання у повному обсязі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Центральна районна лікарня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матеріального резерву всіх рівнів для запобігання виникненню і ліквідації наслідків можливих надзвичайних ситуацій техногенного та природного характеру (надалі-надзвичайна ситуація) згідно із затвердженою номенклатурою </w:t>
              <w:br w:type="textWrapping"/>
              <w:t xml:space="preserve">(не менш як 55 відсотків від потреби)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економіки, відділ фінансово-господарського забезпечення Районна державна адміністрація,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10 грудня</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планів цивільного захисту району на особливий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березень</w:t>
            </w:r>
          </w:p>
        </w:tc>
      </w:tr>
      <w:tr>
        <w:trPr>
          <w:trHeight w:val="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переліку підприємств, установ та організацій, що продовжують свою діяльність в особливий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 територіальні підрозділи центральних органів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 - грудень</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та коригування планів евакуації населення, яке проживає в населених пунктах, що розташовані в можливих зонах катастрофічного затоплення, хімічного забруднення, районах виникнення стихійного лиха, інших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суб'єкти господарювання, евакуаційні комісії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березень</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Реалізація заходів, визначених державними та регіональними програмами з питань цивільного захисту, та аналіз їх цільового фінансування, зокрема Комплексної програми захисту населення і територій Львівської області від надзвичайних ситуацій та запобігання їх виникненню на 2013-2022 роки, у складі:</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Програми створення Пустомитівського районного резерву матеріально-технічних ресурсів на 2017 рік;</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Програми накопичення засобів радіаційного та хімічного захисту для населення </w:t>
              <w:br w:type="textWrapping"/>
              <w:t xml:space="preserve">і особового складу невоєнізованих формувань цивільного захисту Пустомитівського району на 2014-2020 роки.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суб'єкти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05 числа січня, квітня, липня, жовтня</w:t>
            </w:r>
          </w:p>
        </w:tc>
      </w:tr>
      <w:tr>
        <w:trPr>
          <w:trHeight w:val="2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Впровадження інженерно-технічних заходів цивільного захисту при розробленні містобудівної та проектної документації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суб'єкти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архітектури та містобудування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2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створення пунктів видачі населенню та особовому складу невоєнізованих формувань засобів радіаційного і хімічного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червень</w:t>
            </w:r>
          </w:p>
        </w:tc>
      </w:tr>
      <w:tr>
        <w:trPr>
          <w:trHeight w:val="4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заходів щодо забезпечення реалізації положень Кодексу цивільного захисту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4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органів виконавчої влади, місцевого самоврядування та населення інформацією про фактичні та очікувані зміни гідрометеорологічних умов і стану навколишнього природного середовища, попередження про небезпечні та стихійні гідрометеорологічні явища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40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D">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right="0" w:hanging="36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 щодо запобігання виникненню надзвичайних ситуацій та зменшення ризику їх виникнення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впровадження на об’єктах підвищеної небезпеки систем виявлення загрози надзвичайних ситуацій і локальних систем оповіщення населення у зонах можливого ураження та персоналу таких об’єктів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Головне управління Державної служби України з надзвичайних ситуацій</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1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заходів щодо підтримання в готовності до застосування технічних засобів систем оповіщення органів управління цивільного захисту та населення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Станційно-лінійна дільниця № 4 (м.Пустомити) РЦТ № 133 (м.Яворів) ЛД ПАТ «Укртелеком»;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100" w:hRule="atLeast"/>
        </w:trPr>
        <w:tc>
          <w:tcPr>
            <w:tcBorders>
              <w:left w:color="000000" w:space="0" w:sz="4" w:val="single"/>
              <w:bottom w:color="000000" w:space="0" w:sz="4" w:val="single"/>
            </w:tcBorders>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left w:color="000000" w:space="0" w:sz="4" w:val="single"/>
              <w:bottom w:color="000000" w:space="0" w:sz="4" w:val="single"/>
            </w:tcBorders>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Розроблення та здійснення комплексу заходів щодо запобігання виникненню надзвичайних ситуацій (зменшення втрат) під час: </w:t>
            </w:r>
          </w:p>
        </w:tc>
        <w:tc>
          <w:tcPr>
            <w:tcBorders>
              <w:left w:color="000000" w:space="0" w:sz="4" w:val="single"/>
              <w:bottom w:color="000000" w:space="0" w:sz="4" w:val="single"/>
            </w:tcBorders>
            <w:vAlign w:val="center"/>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28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2.3.1.</w:t>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2.3.2.</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88901</wp:posOffset>
                      </wp:positionH>
                      <wp:positionV relativeFrom="paragraph">
                        <wp:posOffset>114300</wp:posOffset>
                      </wp:positionV>
                      <wp:extent cx="457200" cy="12700"/>
                      <wp:effectExtent b="0" l="0" r="0" t="0"/>
                      <wp:wrapNone/>
                      <wp:docPr id="1" name=""/>
                      <a:graphic>
                        <a:graphicData uri="http://schemas.microsoft.com/office/word/2010/wordprocessingShape">
                          <wps:wsp>
                            <wps:cNvCnPr/>
                            <wps:spPr>
                              <a:xfrm>
                                <a:off x="5117400" y="3780000"/>
                                <a:ext cx="457200" cy="0"/>
                              </a:xfrm>
                              <a:prstGeom prst="straightConnector1">
                                <a:avLst/>
                              </a:prstGeom>
                              <a:no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88901</wp:posOffset>
                      </wp:positionH>
                      <wp:positionV relativeFrom="paragraph">
                        <wp:posOffset>114300</wp:posOffset>
                      </wp:positionV>
                      <wp:extent cx="457200" cy="12700"/>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457200" cy="12700"/>
                              </a:xfrm>
                              <a:prstGeom prst="rect"/>
                              <a:ln/>
                            </pic:spPr>
                          </pic:pic>
                        </a:graphicData>
                      </a:graphic>
                    </wp:anchor>
                  </w:drawing>
                </mc:Fallback>
              </mc:AlternateConten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льодоходу, повені та паводків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Дублянське управління водного господарства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травень</w:t>
            </w:r>
          </w:p>
        </w:tc>
      </w:tr>
      <w:tr>
        <w:trPr>
          <w:trHeight w:val="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пожеж у лісах та на сільськогосподарських угіддях у пожежонебезпечний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Лісогосподарські підприємства району, Пустомитівське відділення Франківського відділу поліції Головного управління Національної поліції у Львівській області, управління агропромислового розвитку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 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нещасним випадкам з людьми на водних об’єктах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Пустомитівське відділення поліції Франківського відділу Головного управління Національної поліції 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II-III кварталу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прогнозних даних (Паспортів ризиків) щодо ризиків виникнення надзвичайних ситуацій техногенного та природного характеру (надалі – надзвичайна ситуація) на потенційно небезпечних об’єктах і територіях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Служби цивільного захисту, 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переліку населених пунктів, об’єктів життєзабезпечення, транспортної мережі та енергетики, які попадають, у разі проходження повені, в зону підтоплення (затоплення)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Дублянське управління водного господарства, Районний відділ  Головного управління Державної служби України з надзвичайних ситуацій</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Місцеві органи виконавчої влади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переліку аварійних споруд і будівель на підпорядкованих територіях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житлово-комунального господарства та будівництва, 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Місцеві органи виконавчої влади,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 числа червня, грудня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місць для підриву (знешкодження) вилучених вибухонебезпечних предметів та надання інформації в ГУ ДСНС України 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Грудень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переліку суб’єктів, які можуть бути залучені до проведення санітарної обробки людей і спеціальної обробки техніки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обсягів забезпечення засобами індивідуального захисту працюючого персоналу хімічно-небезпечних об’єктів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Сектор цивільного захисту районної державної адміністрації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Щоквартально</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Укладення угод на обов’язкове аварійно-рятувальне обслуговування об’єктів </w:t>
              <w:br w:type="textWrapping"/>
              <w:t xml:space="preserve">у відповідності до постанови Кабінету Міністрів України "Про Порядок обслуговування об'єктів та окремих територій Державними аварійно-рятувальними службами" від 17.11.2003 №3440</w:t>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Заходи щодо підготовки органів управління, сил та засобів територіальної підсистеми єдиної державної системи цивільного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планів реагування на надзвичайні ситуації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тренувань з працівниками органів управління та сил цивільного захисту територіальної підсистеми єдиної державної системи цивільного захисту з:</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завдань під час весняного льодоходу та повені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 евакуаційна комісія, служби цивільного захисту,  Сектор цивільного захисту районної державної адміністрації ,  Районний відділ  Головного управління Державної служби України з надзвичайних ситуацій</w:t>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лютого</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завдань у складних умовах осінньо-зимового періоду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Районні служби цивільного захисту, Районний відділ  Головного управління Державної служби України з надзвичайних ситуацій</w:t>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Сектор цивільного захисту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жовтня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ліквідації наслідків надзвичайних ситуацій у разі виникнення аварії на хімічно-небезпечному об’єкті (під час проведення командно-штабних  навчань і тренувань)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органи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 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Липень-вересень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переведення територіальної підсистеми єдиної державної системи цивільного захисту з режиму функціонування в мирний час на режим функціонування в особливий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Районні служби цивільного захисту, районний відділ  Головного управління Державної служби України з надзвичайних ситуацій</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Сектор цивільного захисту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квітня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ліквідації надзвичайних ситуацій та їх окремих наслідків, пов’язаних з поширенням особливо небезпечних інфекційних захворювань серед населення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Центральна районна лікарня,  районний відділ  Головного управління Державної служби України з надзвичайних ситуацій</w:t>
            </w:r>
          </w:p>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структурні підрозділи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Центральна районна лікарня, райсанепідемстанція, районна комісія з питань техногенно-екологічної безпеки і надзвичайних ситуацій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Лютий-березень (за окремим рішенням)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засідання районної комісії з питань ТЕБ і НС (за окремим планом)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комісії з питань техногенно-екологічної безпеки і надзвичайних ситуацій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Члени районної комісії з питань техногенно-екологічної безпеки і надзвичайних ситуацій, представники територіальних підрозділів центральних і структурних підрозділів місцевих органів виконавчої влади, суб’єктів господарювання (за окремим списком)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зборів керівного складу району, служб цивільного захисту щодо підбиття підсумків роботи у сфері цивільного захисту у 2016 році та визначення основних завдань в зазначеній сфері на 2017 рік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суб'єкти господарювання (за окремим списком)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2017 року</w:t>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рішенням)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показових комплексних об’єктових навчань щодо ліквідації наслідків надзвичайних ситуацій із залученням служб цивільного захисту  на:</w:t>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 господарювання, районний відділ  Головного управління Державної служби України з надзвичайних ситуацій</w:t>
            </w:r>
          </w:p>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служби цивільного захисту району,  Державна пожежно-рятувальна частина -25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3.4.1.</w:t>
            </w:r>
          </w:p>
        </w:tc>
        <w:tc>
          <w:tcPr>
            <w:tcBorders>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 “Оліяр”</w:t>
            </w:r>
          </w:p>
        </w:tc>
        <w:tc>
          <w:tcPr>
            <w:tcBorders>
              <w:left w:color="000000" w:space="0" w:sz="4" w:val="single"/>
              <w:bottom w:color="000000" w:space="0" w:sz="4" w:val="single"/>
            </w:tcBorders>
            <w:vAlign w:val="center"/>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Березень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3.4.2.</w:t>
            </w:r>
          </w:p>
        </w:tc>
        <w:tc>
          <w:tcPr>
            <w:tcBorders>
              <w:left w:color="000000" w:space="0" w:sz="4" w:val="single"/>
              <w:bottom w:color="000000" w:space="0" w:sz="4" w:val="single"/>
            </w:tcBorders>
            <w:vAlign w:val="top"/>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Супермаркет «Рукавичка»</w:t>
            </w:r>
          </w:p>
        </w:tc>
        <w:tc>
          <w:tcPr>
            <w:tcBorders>
              <w:left w:color="000000" w:space="0" w:sz="4" w:val="single"/>
              <w:bottom w:color="000000" w:space="0" w:sz="4" w:val="single"/>
            </w:tcBorders>
            <w:vAlign w:val="center"/>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3.4.3.</w:t>
            </w:r>
          </w:p>
        </w:tc>
        <w:tc>
          <w:tcPr>
            <w:tcBorders>
              <w:left w:color="000000" w:space="0" w:sz="4" w:val="single"/>
              <w:bottom w:color="000000" w:space="0" w:sz="4" w:val="single"/>
            </w:tcBorders>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«Компютекс Авто ЛТД»</w:t>
            </w:r>
          </w:p>
        </w:tc>
        <w:tc>
          <w:tcPr>
            <w:tcBorders>
              <w:left w:color="000000" w:space="0" w:sz="4" w:val="single"/>
              <w:bottom w:color="000000" w:space="0" w:sz="4" w:val="single"/>
            </w:tcBorders>
            <w:vAlign w:val="center"/>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3.4.4.</w:t>
            </w:r>
          </w:p>
        </w:tc>
        <w:tc>
          <w:tcPr>
            <w:tcBorders>
              <w:left w:color="000000" w:space="0" w:sz="4" w:val="single"/>
              <w:bottom w:color="000000" w:space="0" w:sz="4" w:val="single"/>
            </w:tcBorders>
            <w:vAlign w:val="top"/>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«Пустомити м'ясо»</w:t>
            </w:r>
          </w:p>
        </w:tc>
        <w:tc>
          <w:tcPr>
            <w:tcBorders>
              <w:left w:color="000000" w:space="0" w:sz="4" w:val="single"/>
              <w:bottom w:color="000000" w:space="0" w:sz="4" w:val="single"/>
            </w:tcBorders>
            <w:vAlign w:val="center"/>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left w:color="000000" w:space="0" w:sz="4" w:val="single"/>
              <w:bottom w:color="000000" w:space="0" w:sz="4" w:val="single"/>
            </w:tcBorders>
            <w:vAlign w:val="top"/>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спеціальних об’єктових навчань з ЦЗ:</w:t>
            </w:r>
          </w:p>
        </w:tc>
        <w:tc>
          <w:tcPr>
            <w:tcBorders>
              <w:left w:color="000000" w:space="0" w:sz="4" w:val="single"/>
              <w:bottom w:color="000000" w:space="0" w:sz="4" w:val="single"/>
            </w:tcBorders>
            <w:vAlign w:val="center"/>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 господарювання</w:t>
            </w:r>
          </w:p>
        </w:tc>
        <w:tc>
          <w:tcPr>
            <w:tcBorders>
              <w:left w:color="000000" w:space="0" w:sz="4" w:val="single"/>
              <w:bottom w:color="000000" w:space="0" w:sz="4" w:val="single"/>
            </w:tcBorders>
            <w:vAlign w:val="center"/>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навчально-консультаційний пункт у м. Стрию</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3.5.1</w:t>
            </w:r>
          </w:p>
        </w:tc>
        <w:tc>
          <w:tcPr>
            <w:tcBorders>
              <w:left w:color="000000" w:space="0" w:sz="4" w:val="single"/>
              <w:bottom w:color="000000" w:space="0" w:sz="4" w:val="single"/>
            </w:tcBorders>
            <w:vAlign w:val="top"/>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Щирецька селищна рада</w:t>
            </w:r>
          </w:p>
        </w:tc>
        <w:tc>
          <w:tcPr>
            <w:tcBorders>
              <w:left w:color="000000" w:space="0" w:sz="4" w:val="single"/>
              <w:bottom w:color="000000" w:space="0" w:sz="4" w:val="single"/>
            </w:tcBorders>
            <w:vAlign w:val="center"/>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3.5.2</w:t>
            </w:r>
          </w:p>
        </w:tc>
        <w:tc>
          <w:tcPr>
            <w:tcBorders>
              <w:left w:color="000000" w:space="0" w:sz="4" w:val="single"/>
              <w:bottom w:color="000000" w:space="0" w:sz="4" w:val="single"/>
            </w:tcBorders>
            <w:vAlign w:val="top"/>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Архівний відділ</w:t>
            </w:r>
          </w:p>
        </w:tc>
        <w:tc>
          <w:tcPr>
            <w:tcBorders>
              <w:left w:color="000000" w:space="0" w:sz="4" w:val="single"/>
              <w:bottom w:color="000000" w:space="0" w:sz="4" w:val="single"/>
            </w:tcBorders>
            <w:vAlign w:val="center"/>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3.5.3</w:t>
            </w:r>
          </w:p>
        </w:tc>
        <w:tc>
          <w:tcPr>
            <w:tcBorders>
              <w:left w:color="000000" w:space="0" w:sz="4" w:val="single"/>
              <w:bottom w:color="000000" w:space="0" w:sz="4" w:val="single"/>
            </w:tcBorders>
            <w:vAlign w:val="top"/>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зайнятості </w:t>
            </w:r>
          </w:p>
        </w:tc>
        <w:tc>
          <w:tcPr>
            <w:tcBorders>
              <w:left w:color="000000" w:space="0" w:sz="4" w:val="single"/>
              <w:bottom w:color="000000" w:space="0" w:sz="4" w:val="single"/>
            </w:tcBorders>
            <w:vAlign w:val="center"/>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3.5.4</w:t>
            </w:r>
          </w:p>
        </w:tc>
        <w:tc>
          <w:tcPr>
            <w:tcBorders>
              <w:left w:color="000000" w:space="0" w:sz="4" w:val="single"/>
              <w:bottom w:color="000000" w:space="0" w:sz="4" w:val="single"/>
            </w:tcBorders>
            <w:vAlign w:val="top"/>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w:t>
            </w:r>
          </w:p>
        </w:tc>
        <w:tc>
          <w:tcPr>
            <w:tcBorders>
              <w:left w:color="000000" w:space="0" w:sz="4" w:val="single"/>
              <w:bottom w:color="000000" w:space="0" w:sz="4" w:val="single"/>
            </w:tcBorders>
            <w:vAlign w:val="center"/>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3.5.5</w:t>
            </w:r>
          </w:p>
        </w:tc>
        <w:tc>
          <w:tcPr>
            <w:tcBorders>
              <w:left w:color="000000" w:space="0" w:sz="4" w:val="single"/>
              <w:bottom w:color="000000" w:space="0" w:sz="4" w:val="single"/>
            </w:tcBorders>
            <w:vAlign w:val="top"/>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Чижиківська с/р</w:t>
            </w:r>
          </w:p>
        </w:tc>
        <w:tc>
          <w:tcPr>
            <w:tcBorders>
              <w:left w:color="000000" w:space="0" w:sz="4" w:val="single"/>
              <w:bottom w:color="000000" w:space="0" w:sz="4" w:val="single"/>
            </w:tcBorders>
            <w:vAlign w:val="center"/>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3.5.6</w:t>
            </w:r>
          </w:p>
        </w:tc>
        <w:tc>
          <w:tcPr>
            <w:tcBorders>
              <w:left w:color="000000" w:space="0" w:sz="4" w:val="single"/>
              <w:bottom w:color="000000" w:space="0" w:sz="4" w:val="single"/>
            </w:tcBorders>
            <w:vAlign w:val="top"/>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с/р</w:t>
            </w:r>
          </w:p>
        </w:tc>
        <w:tc>
          <w:tcPr>
            <w:tcBorders>
              <w:left w:color="000000" w:space="0" w:sz="4" w:val="single"/>
              <w:bottom w:color="000000" w:space="0" w:sz="4" w:val="single"/>
            </w:tcBorders>
            <w:vAlign w:val="center"/>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3.5.7</w:t>
            </w:r>
          </w:p>
        </w:tc>
        <w:tc>
          <w:tcPr>
            <w:tcBorders>
              <w:left w:color="000000" w:space="0" w:sz="4" w:val="single"/>
              <w:bottom w:color="000000" w:space="0" w:sz="4" w:val="single"/>
            </w:tcBorders>
            <w:vAlign w:val="top"/>
          </w:tcPr>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Соколівська с/р</w:t>
            </w:r>
          </w:p>
        </w:tc>
        <w:tc>
          <w:tcPr>
            <w:tcBorders>
              <w:left w:color="000000" w:space="0" w:sz="4" w:val="single"/>
              <w:bottom w:color="000000" w:space="0" w:sz="4" w:val="single"/>
            </w:tcBorders>
            <w:vAlign w:val="center"/>
          </w:tcPr>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3.5.8</w:t>
            </w:r>
          </w:p>
        </w:tc>
        <w:tc>
          <w:tcPr>
            <w:tcBorders>
              <w:left w:color="000000" w:space="0" w:sz="4" w:val="single"/>
              <w:bottom w:color="000000" w:space="0" w:sz="4" w:val="single"/>
            </w:tcBorders>
            <w:vAlign w:val="top"/>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с/р</w:t>
            </w:r>
          </w:p>
        </w:tc>
        <w:tc>
          <w:tcPr>
            <w:tcBorders>
              <w:left w:color="000000" w:space="0" w:sz="4" w:val="single"/>
              <w:bottom w:color="000000" w:space="0" w:sz="4" w:val="single"/>
            </w:tcBorders>
            <w:vAlign w:val="center"/>
          </w:tcPr>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3.5.9</w:t>
            </w:r>
          </w:p>
        </w:tc>
        <w:tc>
          <w:tcPr>
            <w:tcBorders>
              <w:left w:color="000000" w:space="0" w:sz="4" w:val="single"/>
              <w:bottom w:color="000000" w:space="0" w:sz="4" w:val="single"/>
            </w:tcBorders>
            <w:vAlign w:val="top"/>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Солонківська с/р</w:t>
            </w:r>
          </w:p>
        </w:tc>
        <w:tc>
          <w:tcPr>
            <w:tcBorders>
              <w:left w:color="000000" w:space="0" w:sz="4" w:val="single"/>
              <w:bottom w:color="000000" w:space="0" w:sz="4" w:val="single"/>
            </w:tcBorders>
            <w:vAlign w:val="center"/>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left w:color="000000" w:space="0" w:sz="4" w:val="single"/>
              <w:bottom w:color="000000" w:space="0" w:sz="4" w:val="single"/>
            </w:tcBorders>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Практичне вивчення стану цивільного захисту хімчно-небезпечних об’єктів та організації реагування на них у разі виникнення НС на суб’єктах господарювання:</w:t>
            </w:r>
          </w:p>
        </w:tc>
        <w:tc>
          <w:tcPr>
            <w:tcBorders>
              <w:left w:color="000000" w:space="0" w:sz="4" w:val="single"/>
              <w:bottom w:color="000000" w:space="0" w:sz="4" w:val="single"/>
            </w:tcBorders>
            <w:vAlign w:val="center"/>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left w:color="000000" w:space="0" w:sz="4" w:val="single"/>
              <w:bottom w:color="000000" w:space="0" w:sz="4" w:val="single"/>
            </w:tcBorders>
            <w:vAlign w:val="center"/>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Січень-березень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3.6.1</w:t>
            </w:r>
          </w:p>
        </w:tc>
        <w:tc>
          <w:tcPr>
            <w:tcBorders>
              <w:left w:color="000000" w:space="0" w:sz="4" w:val="single"/>
              <w:bottom w:color="000000" w:space="0" w:sz="4" w:val="single"/>
            </w:tcBorders>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“Пустомити-м”ясо”</w:t>
            </w:r>
          </w:p>
        </w:tc>
        <w:tc>
          <w:tcPr>
            <w:tcBorders>
              <w:left w:color="000000" w:space="0" w:sz="4" w:val="single"/>
              <w:bottom w:color="000000" w:space="0" w:sz="4" w:val="single"/>
            </w:tcBorders>
            <w:vAlign w:val="center"/>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3.6.2</w:t>
            </w:r>
          </w:p>
        </w:tc>
        <w:tc>
          <w:tcPr>
            <w:tcBorders>
              <w:left w:color="000000" w:space="0" w:sz="4" w:val="single"/>
              <w:bottom w:color="000000" w:space="0" w:sz="4" w:val="single"/>
            </w:tcBorders>
            <w:vAlign w:val="top"/>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 “Інвест”</w:t>
            </w:r>
          </w:p>
        </w:tc>
        <w:tc>
          <w:tcPr>
            <w:tcBorders>
              <w:left w:color="000000" w:space="0" w:sz="4" w:val="single"/>
              <w:bottom w:color="000000" w:space="0" w:sz="4" w:val="single"/>
            </w:tcBorders>
            <w:vAlign w:val="center"/>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3.6.3</w:t>
            </w:r>
          </w:p>
        </w:tc>
        <w:tc>
          <w:tcPr>
            <w:tcBorders>
              <w:left w:color="000000" w:space="0" w:sz="4" w:val="single"/>
              <w:bottom w:color="000000" w:space="0" w:sz="4" w:val="single"/>
            </w:tcBorders>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МП “Плай”</w:t>
            </w:r>
          </w:p>
        </w:tc>
        <w:tc>
          <w:tcPr>
            <w:tcBorders>
              <w:left w:color="000000" w:space="0" w:sz="4" w:val="single"/>
              <w:bottom w:color="000000" w:space="0" w:sz="4" w:val="single"/>
            </w:tcBorders>
            <w:vAlign w:val="center"/>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3.6.4</w:t>
            </w:r>
          </w:p>
        </w:tc>
        <w:tc>
          <w:tcPr>
            <w:tcBorders>
              <w:left w:color="000000" w:space="0" w:sz="4" w:val="single"/>
              <w:bottom w:color="000000" w:space="0" w:sz="4" w:val="single"/>
            </w:tcBorders>
            <w:vAlign w:val="top"/>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ВНС “Бібрка”  ЛМКП “Львівводоканал”</w:t>
            </w:r>
          </w:p>
        </w:tc>
        <w:tc>
          <w:tcPr>
            <w:tcBorders>
              <w:left w:color="000000" w:space="0" w:sz="4" w:val="single"/>
              <w:bottom w:color="000000" w:space="0" w:sz="4" w:val="single"/>
            </w:tcBorders>
            <w:vAlign w:val="center"/>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3.6.5</w:t>
            </w:r>
          </w:p>
        </w:tc>
        <w:tc>
          <w:tcPr>
            <w:tcBorders>
              <w:left w:color="000000" w:space="0" w:sz="4" w:val="single"/>
              <w:bottom w:color="000000" w:space="0" w:sz="4" w:val="single"/>
            </w:tcBorders>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ВНС “Глинна Наварія”  ЛМКП “Львівводоканал”</w:t>
            </w:r>
          </w:p>
        </w:tc>
        <w:tc>
          <w:tcPr>
            <w:tcBorders>
              <w:left w:color="000000" w:space="0" w:sz="4" w:val="single"/>
              <w:bottom w:color="000000" w:space="0" w:sz="4" w:val="single"/>
            </w:tcBorders>
            <w:vAlign w:val="center"/>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Заходи щодо визначення стану готовності органів управління, сил та засобів районної ланки територіальної підсистеми єдиної державної системи цивільного захисту до дій за призначенням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Участь у проведенні перевірки місцевих органів виконавчої влади, органів місцевого самоврядування, підприємств, установ та організацій щодо стану готовності до: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весняного льодоходу, повені та паводків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служби цивільного захисту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Лютий – березень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початку сезону відпочинку місць масового відпочинку та оздоровлення громадян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масового відпочинку та оздоровлення, районний відділ  Головного управління Державної служби України з надзвичайних ситуацій</w:t>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 травень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завдань у складних умовах осінньо-зимового періоду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районний відділ  Головного управління Державної служби України з надзвичайних ситуацій</w:t>
            </w:r>
          </w:p>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 - 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перевірки стану готовності: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об’єктових аварійно-рятувальних служб і формувань, </w:t>
              <w:br w:type="textWrapping"/>
              <w:t xml:space="preserve">а також аварійно-рятувальних служб громадських організацій до дій за призначенням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Місцеві органи виконавчої влади, аварійно-рятувальні служби і формування (державні, комунальні, об’єктові та громадських організацій), районний відділ  Головного управління Державної служби України з надзвичайних ситуацій</w:t>
            </w:r>
          </w:p>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Березень – червень, листопад – грудень (за окремим планом)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та інших підприємств, установ та організацій, що мають у користуванні ліси  сільськогосподарські угіддя, до їх протипожежного захисту у пожежонебезпечний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органи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що мають у користуванні ліси і сільськогосподарські угіддя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 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Участь у проведенні перевірки стану готовності районної системи оповіщення до передачі сигналів оповіщення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Оперативно-чергові та диспетчерські служби суб’єктів господарювання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Щомісяця (третя середа місяця)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6">
            <w:pPr>
              <w:keepNext w:val="1"/>
              <w:keepLines w:val="0"/>
              <w:widowControl w:val="0"/>
              <w:numPr>
                <w:ilvl w:val="5"/>
                <w:numId w:val="1"/>
              </w:numPr>
              <w:pBdr>
                <w:top w:space="0" w:sz="0" w:val="nil"/>
                <w:left w:space="0" w:sz="0" w:val="nil"/>
                <w:bottom w:space="0" w:sz="0" w:val="nil"/>
                <w:right w:space="0" w:sz="0" w:val="nil"/>
                <w:between w:space="0" w:sz="0" w:val="nil"/>
              </w:pBdr>
              <w:shd w:fill="auto" w:val="clear"/>
              <w:spacing w:after="0" w:before="0" w:line="240" w:lineRule="auto"/>
              <w:ind w:left="2232" w:right="0" w:hanging="1152"/>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тренувань із розрахунково-аналітичною групою району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Розрахунково-аналітична група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перевірки стану протипожежного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сільськогосподарських підприємств та господарств у місцях збирання, перероблення і зберігання врожаю, заготівлі кормів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Сільськогосподарські підприємства та господарства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 серпень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закладів освіти та їх готовності до 2017/18 навчального року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освіти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 -</w:t>
            </w:r>
            <w:r w:rsidDel="00000000" w:rsidR="00000000" w:rsidRPr="00000000">
              <w:rPr>
                <w:rFonts w:ascii="Times New Roman" w:cs="Times New Roman" w:eastAsia="Times New Roman" w:hAnsi="Times New Roman"/>
                <w:b w:val="0"/>
                <w:i w:val="0"/>
                <w:smallCaps w:val="0"/>
                <w:strike w:val="0"/>
                <w:color w:val="000000"/>
                <w:sz w:val="20"/>
                <w:szCs w:val="20"/>
                <w:u w:val="none"/>
                <w:shd w:fill="ccffff"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хлібоприймальних підприємств та їх готовності до прийняття та зберігання зернових культур урожаю 2017 року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Хлібоприймальні підприємства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 – липень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tabs>
                <w:tab w:val="left" w:pos="41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Перевірка готовності водних об’єктів до: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Комісія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та орендарі водних об’єктів,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купального сезону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Квітень-травень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tabs>
                <w:tab w:val="left" w:pos="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зимового періоду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Листопад</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Комплексні перевірки, відповідно до постанов Кабінету Міністрів України від 14.11.2007 № 1324 та від 28.05.2008 № 493, стану дотримання законодавства у сфері пожежної безпеки, цивільного захисту та техногенної безпеки на об’єктах високого ступеня ризику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(за окремим планом)</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перевірки організації роботи з питань техногенної та пожежної безпеки на об’єктах:</w:t>
            </w:r>
          </w:p>
        </w:tc>
        <w:tc>
          <w:tcPr>
            <w:tcBorders>
              <w:left w:color="000000" w:space="0" w:sz="4" w:val="single"/>
              <w:bottom w:color="000000" w:space="0" w:sz="4" w:val="single"/>
            </w:tcBorders>
            <w:vAlign w:val="center"/>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відділ освіти, органи місцевого самоврядування, </w:t>
            </w:r>
          </w:p>
        </w:tc>
        <w:tc>
          <w:tcPr>
            <w:tcBorders>
              <w:left w:color="000000" w:space="0" w:sz="4" w:val="single"/>
              <w:bottom w:color="000000" w:space="0" w:sz="4" w:val="single"/>
            </w:tcBorders>
            <w:vAlign w:val="center"/>
          </w:tcPr>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 , органи місцевого самоврядування,</w:t>
            </w:r>
          </w:p>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об’єктів</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Потягом року</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4.7.1</w:t>
            </w:r>
          </w:p>
        </w:tc>
        <w:tc>
          <w:tcPr>
            <w:tcBorders>
              <w:left w:color="000000" w:space="0" w:sz="4" w:val="single"/>
              <w:bottom w:color="000000" w:space="0" w:sz="4" w:val="single"/>
            </w:tcBorders>
            <w:vAlign w:val="top"/>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Давидівська ОТГ</w:t>
            </w:r>
          </w:p>
        </w:tc>
        <w:tc>
          <w:tcPr>
            <w:tcBorders>
              <w:left w:color="000000" w:space="0" w:sz="4" w:val="single"/>
              <w:bottom w:color="000000" w:space="0" w:sz="4" w:val="single"/>
            </w:tcBorders>
            <w:vAlign w:val="center"/>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4.7.2</w:t>
            </w:r>
          </w:p>
        </w:tc>
        <w:tc>
          <w:tcPr>
            <w:tcBorders>
              <w:left w:color="000000" w:space="0" w:sz="4" w:val="single"/>
              <w:bottom w:color="000000" w:space="0" w:sz="4" w:val="single"/>
            </w:tcBorders>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Давидівська ЗОШ І-ІІІст</w:t>
            </w:r>
          </w:p>
        </w:tc>
        <w:tc>
          <w:tcPr>
            <w:tcBorders>
              <w:left w:color="000000" w:space="0" w:sz="4" w:val="single"/>
              <w:bottom w:color="000000" w:space="0" w:sz="4" w:val="single"/>
            </w:tcBorders>
            <w:vAlign w:val="center"/>
          </w:tcPr>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4.7.3</w:t>
            </w:r>
          </w:p>
        </w:tc>
        <w:tc>
          <w:tcPr>
            <w:tcBorders>
              <w:left w:color="000000" w:space="0" w:sz="4" w:val="single"/>
              <w:bottom w:color="000000" w:space="0" w:sz="4" w:val="single"/>
            </w:tcBorders>
            <w:vAlign w:val="top"/>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Щирецька сел.рада</w:t>
            </w:r>
          </w:p>
        </w:tc>
        <w:tc>
          <w:tcPr>
            <w:tcBorders>
              <w:left w:color="000000" w:space="0" w:sz="4" w:val="single"/>
              <w:bottom w:color="000000" w:space="0" w:sz="4" w:val="single"/>
            </w:tcBorders>
            <w:vAlign w:val="center"/>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4.7.4</w:t>
            </w:r>
          </w:p>
        </w:tc>
        <w:tc>
          <w:tcPr>
            <w:tcBorders>
              <w:left w:color="000000" w:space="0" w:sz="4" w:val="single"/>
              <w:bottom w:color="000000" w:space="0" w:sz="4" w:val="single"/>
            </w:tcBorders>
            <w:vAlign w:val="top"/>
          </w:tcPr>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Щирецька ЗОШ № 1 І-ІІІст.</w:t>
            </w:r>
          </w:p>
        </w:tc>
        <w:tc>
          <w:tcPr>
            <w:tcBorders>
              <w:left w:color="000000" w:space="0" w:sz="4" w:val="single"/>
              <w:bottom w:color="000000" w:space="0" w:sz="4" w:val="single"/>
            </w:tcBorders>
            <w:vAlign w:val="center"/>
          </w:tcPr>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контролю за: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-станом роботи щодо ідентифікації, декларування об’єктів підвищеної небезпеки та страхуванням цивільної відповідальності суб’єктами господарювання за шкоду, яка може бути заподіяна пожежами та аваріями, за розробленням на потенційно небезпечних об’єктах та об’єктах підвищеної небезпеки планів локалізації та ліквідації аварійних ситуацій і аварій (під час проведення перевірок)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(за окремим планом)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C">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28" w:right="9" w:firstLine="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обладнанням потенційно-небезпечних об’єктів системами раннього виявлення надзвичайних ситуацій та оповіщення і забезпечення впровадження комп’ютеризованих систем контролю (під час проведення перевірок)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Позапланові перевірки стану дотримання вимог законодавства у сфері пожежної та техногенної безпеки на об’єктах, які залучаються до проведення заходів під час святкування: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Великодніх свят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Трійці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Дня Конституції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Дня Незалежності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Новорічних і Різдвяних свят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Грудень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Перевірка зовнішніх джерел протипожежного водопостачання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комунальні підприємства водопостачання і водовідведення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забезпеченням персоналу хімічно-небезпечних об’єктів засобами індивідуального захисту у відповідності до постанови Кабінету Міністрів України "Про затвердження Порядку забезпечення населення і особового складу невоєнізованих формувань засобами радіаційного та хімічного захисту" </w:t>
              <w:br w:type="textWrapping"/>
              <w:t xml:space="preserve">від 19.08.2002 №1200</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хімічно-небезпечних об’єктів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перевірок захисних споруд цивільного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органи місцевого самоврядування, суб'єкти господарювання - утримувачі захисних споруд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 (за окремим планом)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огляду-конкурсу на краще утримання захисних споруд цивільного захисту району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органи місцевого самоврядування, суб'єкти господарювання - утримувачі захисних споруд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15листопада </w:t>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5.Заходи щодо підготовки керівного складу та фахівців, діяльність яких пов»язана з організацією і здійсненням заходів з питань цивільного захисту та населення діям у надзвичайних ситуаціях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Функціональне навчання керівного складу і фахівців місцевих органів виконавчої влади, виконавчих органів рад, підприємств, установ та організацій в  навчально-методичному центрі цивільного захисту та безпеки життєдіяльності Львівської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 навчально-методичний центр цивільного захисту та безпеки життєдіяльності Львівської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місцевих органів виконавчої влади, заклади освіти III-IV рівнів акредитації,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(згідно з планом комплектування)</w:t>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семінар-наради щодо порядку взаємного інформування про виникнення надзвичайних ситуацій, некласифікованих подій, пожеж та інших подій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служби цивільного захисту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Оперативно-диспетчерські (диспетчерські) служби суб'єктів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І та ІV кварталів</w:t>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першості області серед Дружин юних рятувальників - пожежних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5.2.3.</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загальноосвітніх та дошкільних навчальних закладах </w:t>
              <w:br w:type="textWrapping"/>
              <w:t xml:space="preserve">Дня цивільного захисту, Тижня безпеки дитини; утворення і розвиток у системі загальної середньої та позашкільної освіти гуртків, факультативів, курсів з цивільного захисту, безпеки життєдіяльності та рятувальної справи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районний відділ  Головного управління Державної служби України з надзвичайних ситуацій</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відділ освіти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Загальноосвітні  та дошкільні навчальні заклади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w:t>
            </w:r>
          </w:p>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w:t>
            </w:r>
          </w:p>
        </w:tc>
      </w:tr>
      <w:tr>
        <w:trPr>
          <w:trHeight w:val="2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і надання допомоги закладам освіти району у проведенні показового "Дня цивільної оборони" та Тижня безпеки дитини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 навчально-консультаційний пункт у м. Стрию, </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Навчально-консультаційний пункт у м.Стрию</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Березень-квітень</w:t>
            </w:r>
          </w:p>
        </w:tc>
      </w:tr>
      <w:tr>
        <w:trPr>
          <w:trHeight w:val="2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Визначення переліку суб’єктів господарювання на яких повинні проводитися спеціальні об’єктові навчання і тренування з питань цивільного захисту та доведення до їх керівників вимог відповідних документів щодо цього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Головне управління Державної служби України з надзвичайних ситуацій</w:t>
            </w:r>
          </w:p>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Навчально-консультаційний пункт у м.Стрию, </w:t>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(графік)</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контролю щодо планування та проведення спеціальних об’єктових навчань і тренувань з питань цивільного захисту на суб’єктах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Навчально-консультаційний пункт у м.Стрию, </w:t>
            </w:r>
          </w:p>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(графік)</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Надання інформації про підсумки підготовки керівного складу, формувань ЦЗ та навчання населення діям у надзвичайних ситуаціях за 2017 рік до Департаменту з питань ЦЗ облдержадміністрації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місцевих органів виконавчої влади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10грудня</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інформаційної та роз’яснювальної роботи серед населення, підвищення рівня практичної підготовки дітей та підлітків до дій у надзвичайних ситуаціях:  розробка міжвідомчого комплексного плану заходів щодо проведення інформаційної та масово-роз'яснювальної роботи серед населення з основних вимог правил безпеки життєдіяльності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 районний відділ  Головного управління Державної служби України з надзвичайних ситуацій</w:t>
            </w:r>
          </w:p>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організацій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w:t>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6.Виставкові, суспільні та інші заходи у сфері  цивільного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та надання пропозицій щодо планування заходів з підготовки цивільного захисту району на 2017 рік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 , районний відділ  Головного управління Державної служби України з надзвичайних ситуацій</w:t>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Спеціалізовані служби,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 липня</w:t>
            </w:r>
          </w:p>
        </w:tc>
      </w:tr>
      <w:tr>
        <w:trPr>
          <w:trHeight w:val="2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 виїзних нарад керівництва райдержадміністрації у населені пункти району з вирішення проблемних питань щодо захисту населення і територій від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відповідних органів управління та сил</w:t>
            </w:r>
          </w:p>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списком)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графіком</w:t>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 огляду-конкурсу на кращу навчально-матеріальну базу цивільного захисту та кращий консультаційний пункт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Комісія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w:t>
            </w:r>
          </w:p>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 - жовтень</w:t>
            </w:r>
          </w:p>
        </w:tc>
      </w:tr>
    </w:tbl>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1906" w:w="16838" w:orient="landscape"/>
      <w:pgMar w:bottom="776" w:top="1701" w:left="1134" w:right="1134"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Verdan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7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425" w:line="240" w:lineRule="auto"/>
      <w:ind w:left="0" w:right="0" w:firstLine="0"/>
      <w:jc w:val="center"/>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1512" w:hanging="432.0000000000002"/>
      </w:pPr>
      <w:rPr>
        <w:vertAlign w:val="baseline"/>
      </w:rPr>
    </w:lvl>
    <w:lvl w:ilvl="1">
      <w:start w:val="1"/>
      <w:numFmt w:val="decimal"/>
      <w:lvlText w:val=""/>
      <w:lvlJc w:val="left"/>
      <w:pPr>
        <w:ind w:left="1656" w:hanging="576"/>
      </w:pPr>
      <w:rPr>
        <w:vertAlign w:val="baseline"/>
      </w:rPr>
    </w:lvl>
    <w:lvl w:ilvl="2">
      <w:start w:val="1"/>
      <w:numFmt w:val="decimal"/>
      <w:lvlText w:val=""/>
      <w:lvlJc w:val="left"/>
      <w:pPr>
        <w:ind w:left="1800" w:hanging="720"/>
      </w:pPr>
      <w:rPr>
        <w:vertAlign w:val="baseline"/>
      </w:rPr>
    </w:lvl>
    <w:lvl w:ilvl="3">
      <w:start w:val="1"/>
      <w:numFmt w:val="decimal"/>
      <w:lvlText w:val=""/>
      <w:lvlJc w:val="left"/>
      <w:pPr>
        <w:ind w:left="1944" w:hanging="864"/>
      </w:pPr>
      <w:rPr>
        <w:vertAlign w:val="baseline"/>
      </w:rPr>
    </w:lvl>
    <w:lvl w:ilvl="4">
      <w:start w:val="1"/>
      <w:numFmt w:val="decimal"/>
      <w:lvlText w:val=""/>
      <w:lvlJc w:val="left"/>
      <w:pPr>
        <w:ind w:left="2088" w:hanging="1007.9999999999998"/>
      </w:pPr>
      <w:rPr>
        <w:vertAlign w:val="baseline"/>
      </w:rPr>
    </w:lvl>
    <w:lvl w:ilvl="5">
      <w:start w:val="1"/>
      <w:numFmt w:val="decimal"/>
      <w:lvlText w:val=""/>
      <w:lvlJc w:val="left"/>
      <w:pPr>
        <w:ind w:left="2232" w:hanging="1152.0000000000002"/>
      </w:pPr>
      <w:rPr>
        <w:vertAlign w:val="baseline"/>
      </w:rPr>
    </w:lvl>
    <w:lvl w:ilvl="6">
      <w:start w:val="1"/>
      <w:numFmt w:val="decimal"/>
      <w:lvlText w:val=""/>
      <w:lvlJc w:val="left"/>
      <w:pPr>
        <w:ind w:left="2376" w:hanging="1296"/>
      </w:pPr>
      <w:rPr>
        <w:vertAlign w:val="baseline"/>
      </w:rPr>
    </w:lvl>
    <w:lvl w:ilvl="7">
      <w:start w:val="1"/>
      <w:numFmt w:val="decimal"/>
      <w:lvlText w:val=""/>
      <w:lvlJc w:val="left"/>
      <w:pPr>
        <w:ind w:left="2520" w:hanging="1440"/>
      </w:pPr>
      <w:rPr>
        <w:vertAlign w:val="baseline"/>
      </w:rPr>
    </w:lvl>
    <w:lvl w:ilvl="8">
      <w:start w:val="1"/>
      <w:numFmt w:val="decimal"/>
      <w:lvlText w:val=""/>
      <w:lvlJc w:val="left"/>
      <w:pPr>
        <w:ind w:left="2664" w:hanging="1584.0000000000002"/>
      </w:pPr>
      <w:rPr>
        <w:vertAlign w:val="baseline"/>
      </w:rPr>
    </w:lvl>
  </w:abstractNum>
  <w:abstractNum w:abstractNumId="2">
    <w:lvl w:ilvl="0">
      <w:start w:val="7"/>
      <w:numFmt w:val="decimal"/>
      <w:lvlText w:val="%1."/>
      <w:lvlJc w:val="left"/>
      <w:pPr>
        <w:ind w:left="720" w:hanging="360"/>
      </w:pPr>
      <w:rPr>
        <w:vertAlign w:val="baseline"/>
      </w:rPr>
    </w:lvl>
    <w:lvl w:ilvl="1">
      <w:start w:val="7"/>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3">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8.0" w:type="dxa"/>
        <w:bottom w:w="0.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2.png"/><Relationship Id="rId9" Type="http://schemas.openxmlformats.org/officeDocument/2006/relationships/hyperlink" Target="http://zakon4.rada.gov.ua/laws/show/z1200-14/print1389886371575929#n137"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